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24" w:rsidRDefault="00F83E24">
      <w:pPr>
        <w:pStyle w:val="title"/>
      </w:pPr>
      <w:r>
        <w:t>Конвенция о вручении за границей судебных и внесудебных документов по гражданским и торговым делам</w:t>
      </w:r>
    </w:p>
    <w:p w:rsidR="00F83E24" w:rsidRDefault="00F83E24">
      <w:pPr>
        <w:pStyle w:val="newncpi"/>
      </w:pPr>
      <w:r>
        <w:t>Государства, подписавшие настоящую Конвенцию,</w:t>
      </w:r>
    </w:p>
    <w:p w:rsidR="00F83E24" w:rsidRDefault="00F83E24">
      <w:pPr>
        <w:pStyle w:val="newncpi"/>
      </w:pPr>
      <w:r>
        <w:t>Желая создать надлежащие средства для того, чтобы содержание судебных и внесудебных документов, подлежащих вручению за рубежом, доводилось до сведения адресата в оптимальные сроки,</w:t>
      </w:r>
    </w:p>
    <w:p w:rsidR="00F83E24" w:rsidRDefault="00F83E24">
      <w:pPr>
        <w:pStyle w:val="newncpi"/>
      </w:pPr>
      <w:r>
        <w:t>Стремясь с этой целью улучшить организацию взаимной судебной помощи путем упрощения и ускорения процедуры,</w:t>
      </w:r>
    </w:p>
    <w:p w:rsidR="00F83E24" w:rsidRDefault="00F83E24">
      <w:pPr>
        <w:pStyle w:val="newncpi"/>
      </w:pPr>
      <w:r>
        <w:t>Решили заключить Конвенцию с этой целью и договорились о нижеследующих положениях:</w:t>
      </w:r>
    </w:p>
    <w:p w:rsidR="00F83E24" w:rsidRDefault="00F83E24">
      <w:pPr>
        <w:pStyle w:val="articlect"/>
      </w:pPr>
      <w:r>
        <w:t>Статья 1</w:t>
      </w:r>
    </w:p>
    <w:p w:rsidR="00F83E24" w:rsidRDefault="00F83E24">
      <w:pPr>
        <w:pStyle w:val="newncpi"/>
      </w:pPr>
      <w:r>
        <w:t xml:space="preserve">Настоящая Конвенция применяется ко всем гражданским и торговым делам, если есть основания для передачи судебных или внесудебных документов для вручения </w:t>
      </w:r>
      <w:proofErr w:type="gramStart"/>
      <w:r>
        <w:t>за</w:t>
      </w:r>
      <w:proofErr w:type="gramEnd"/>
      <w:r>
        <w:t xml:space="preserve"> границей.</w:t>
      </w:r>
    </w:p>
    <w:p w:rsidR="00F83E24" w:rsidRDefault="00F83E24">
      <w:pPr>
        <w:pStyle w:val="newncpi"/>
      </w:pPr>
      <w:r>
        <w:t>Конвенция не применяется, если адрес лица, которому должен быть вручен документ, неизвестен.</w:t>
      </w:r>
    </w:p>
    <w:p w:rsidR="00F83E24" w:rsidRDefault="00F83E24">
      <w:pPr>
        <w:pStyle w:val="chapter"/>
      </w:pPr>
      <w:r>
        <w:t>ГЛАВА I</w:t>
      </w:r>
      <w:r>
        <w:br/>
        <w:t>СУДЕБНЫЕ ДОКУМЕНТЫ</w:t>
      </w:r>
    </w:p>
    <w:p w:rsidR="00F83E24" w:rsidRDefault="00F83E24">
      <w:pPr>
        <w:pStyle w:val="articlect"/>
      </w:pPr>
      <w:r>
        <w:t>Статья 2</w:t>
      </w:r>
    </w:p>
    <w:p w:rsidR="00F83E24" w:rsidRDefault="00F83E24">
      <w:pPr>
        <w:pStyle w:val="newncpi"/>
      </w:pPr>
      <w:r>
        <w:t>Каждое Договаривающееся государство назначает Центральный орган, обязанностью которого является получение просьб о вручении документов, исходящих от других Договаривающихся государств, и осуществление процессуальных действий в соответствии с положениями статей 3–6.</w:t>
      </w:r>
    </w:p>
    <w:p w:rsidR="00F83E24" w:rsidRDefault="00F83E24">
      <w:pPr>
        <w:pStyle w:val="newncpi"/>
      </w:pPr>
      <w:r>
        <w:t>Каждое государство организует Центральный орган в соответствии со своим правом.</w:t>
      </w:r>
    </w:p>
    <w:p w:rsidR="00F83E24" w:rsidRDefault="00F83E24">
      <w:pPr>
        <w:pStyle w:val="articlect"/>
      </w:pPr>
      <w:r>
        <w:t>Статья 3</w:t>
      </w:r>
    </w:p>
    <w:p w:rsidR="00F83E24" w:rsidRDefault="00F83E24">
      <w:pPr>
        <w:pStyle w:val="newncpi"/>
      </w:pPr>
      <w:r>
        <w:t>Орган власти или судебный исполнитель, компетентный в соответствии с правом запрашивающего государства, направляют Центральному органу запрашиваемого государства просьбу согласно формуляру, прилагаемому к настоящей Конвенции, без необходимости легализации или выполнения других аналогичных формальностей.</w:t>
      </w:r>
    </w:p>
    <w:p w:rsidR="00F83E24" w:rsidRDefault="00F83E24">
      <w:pPr>
        <w:pStyle w:val="newncpi"/>
      </w:pPr>
      <w:proofErr w:type="gramStart"/>
      <w:r>
        <w:t>Документ, подлежащий вручению или его копия прилагается</w:t>
      </w:r>
      <w:proofErr w:type="gramEnd"/>
      <w:r>
        <w:t xml:space="preserve"> к просьбе. Просьба и документ предоставляются в двух экземплярах.</w:t>
      </w:r>
    </w:p>
    <w:p w:rsidR="00F83E24" w:rsidRDefault="00F83E24">
      <w:pPr>
        <w:pStyle w:val="articlect"/>
      </w:pPr>
      <w:r>
        <w:t>Статья 4</w:t>
      </w:r>
    </w:p>
    <w:p w:rsidR="00F83E24" w:rsidRDefault="00F83E24">
      <w:pPr>
        <w:pStyle w:val="newncpi"/>
      </w:pPr>
      <w:r>
        <w:t>Если Центральный орган считает, что просьба не соответствует положениям настоящей Конвенции, то он незамедлительно информирует запрашивающий орган и сообщает свои возражения в отношении просьбы.</w:t>
      </w:r>
    </w:p>
    <w:p w:rsidR="00F83E24" w:rsidRDefault="00F83E24">
      <w:pPr>
        <w:pStyle w:val="articlect"/>
      </w:pPr>
      <w:r>
        <w:t>Статья 5</w:t>
      </w:r>
    </w:p>
    <w:p w:rsidR="00F83E24" w:rsidRDefault="00F83E24">
      <w:pPr>
        <w:pStyle w:val="newncpi"/>
      </w:pPr>
      <w:r>
        <w:t>Центральный орган запрашиваемого государства собственноручно вручает документ или обеспечивает его вручение соответствующим органом:</w:t>
      </w:r>
    </w:p>
    <w:p w:rsidR="00F83E24" w:rsidRDefault="00F83E24">
      <w:pPr>
        <w:pStyle w:val="newncpi"/>
      </w:pPr>
      <w:r>
        <w:lastRenderedPageBreak/>
        <w:t>а) способом, определенным его внутренним правом для вручения документов, составленных в этом государстве, лицам, находящимся на его территории, или</w:t>
      </w:r>
    </w:p>
    <w:p w:rsidR="00F83E24" w:rsidRDefault="00F83E24">
      <w:pPr>
        <w:pStyle w:val="newncpi"/>
      </w:pPr>
      <w:r>
        <w:t>b) особым способом, оговоренным запрашивающим органом, за исключением случаев, когда такой способ не совместим с нормами права запрашиваемого государства.</w:t>
      </w:r>
    </w:p>
    <w:p w:rsidR="00F83E24" w:rsidRDefault="00F83E24">
      <w:pPr>
        <w:pStyle w:val="newncpi"/>
      </w:pPr>
      <w:r>
        <w:t>С учетом положения пункта b) части первой настоящей статьи, документ может быть вручен адресату, который добровольно принимает его.</w:t>
      </w:r>
    </w:p>
    <w:p w:rsidR="00F83E24" w:rsidRDefault="00F83E24">
      <w:pPr>
        <w:pStyle w:val="newncpi"/>
      </w:pPr>
      <w:r>
        <w:t>Если документ подлежит вручению в соответствии с частью первой, Центральный орган может потребовать, чтобы он был составлен или переведен на официальный язык или один из официальных языков запрашиваемого государства.</w:t>
      </w:r>
    </w:p>
    <w:p w:rsidR="00F83E24" w:rsidRDefault="00F83E24">
      <w:pPr>
        <w:pStyle w:val="newncpi"/>
      </w:pPr>
      <w:r>
        <w:t>Часть просьбы, составленной согласно формуляру, приложенному к настоящей Конвенции, которая содержит краткое содержание документа, подлежащего вручению, вручается вместе с документом.</w:t>
      </w:r>
    </w:p>
    <w:p w:rsidR="00F83E24" w:rsidRDefault="00F83E24">
      <w:pPr>
        <w:pStyle w:val="articlect"/>
      </w:pPr>
      <w:r>
        <w:t>Статья 6</w:t>
      </w:r>
    </w:p>
    <w:p w:rsidR="00F83E24" w:rsidRDefault="00F83E24">
      <w:pPr>
        <w:pStyle w:val="newncpi"/>
      </w:pPr>
      <w:r>
        <w:t>Центральный орган запрашиваемого государства или любой орган, который может быть назначен с этой целью, составляет извещение согласно формуляру, приложенному к настоящей Конвенции.</w:t>
      </w:r>
    </w:p>
    <w:p w:rsidR="00F83E24" w:rsidRDefault="00F83E24">
      <w:pPr>
        <w:pStyle w:val="newncpi"/>
      </w:pPr>
      <w:r>
        <w:t>В извещении удостоверяется факт вручения документа, способ, место и дата вручения, а также лицо, которому он был вручен. Если документ не был вручен, в извещении указываются причины, помешавшие вручению.</w:t>
      </w:r>
    </w:p>
    <w:p w:rsidR="00F83E24" w:rsidRDefault="00F83E24">
      <w:pPr>
        <w:pStyle w:val="newncpi"/>
      </w:pPr>
      <w:r>
        <w:t>Запрашивающий орган может просить, чтобы извещение, составленное не Центральным органом или судебным органом, было скреплено подписью представителя одного из этих органов.</w:t>
      </w:r>
    </w:p>
    <w:p w:rsidR="00F83E24" w:rsidRDefault="00F83E24">
      <w:pPr>
        <w:pStyle w:val="newncpi"/>
      </w:pPr>
      <w:r>
        <w:t>Извещение направляется непосредственно запрашивающему органу.</w:t>
      </w:r>
    </w:p>
    <w:p w:rsidR="00F83E24" w:rsidRDefault="00F83E24">
      <w:pPr>
        <w:pStyle w:val="articlect"/>
      </w:pPr>
      <w:r>
        <w:t>Статья 7</w:t>
      </w:r>
    </w:p>
    <w:p w:rsidR="00F83E24" w:rsidRDefault="00F83E24">
      <w:pPr>
        <w:pStyle w:val="newncpi"/>
      </w:pPr>
      <w:r>
        <w:t>Типовые условия формуляра, прилагаемого к настоящей Конвенции, во всех случаях составляются либо на французском, либо на английском языке.</w:t>
      </w:r>
    </w:p>
    <w:p w:rsidR="00F83E24" w:rsidRDefault="00F83E24">
      <w:pPr>
        <w:pStyle w:val="newncpi"/>
      </w:pPr>
      <w:r>
        <w:t>Они также могут быть составлены на официальном языке или на одном из официальных языков запрашивающего государства.</w:t>
      </w:r>
    </w:p>
    <w:p w:rsidR="00F83E24" w:rsidRDefault="00F83E24">
      <w:pPr>
        <w:pStyle w:val="newncpi"/>
      </w:pPr>
      <w:r>
        <w:t>Соответствующие пробелы заполняются либо на языке запрашиваемого государства, либо на французском, либо на английском языке.</w:t>
      </w:r>
    </w:p>
    <w:p w:rsidR="00F83E24" w:rsidRDefault="00F83E24">
      <w:pPr>
        <w:pStyle w:val="articlect"/>
      </w:pPr>
      <w:r>
        <w:t>Статья 8</w:t>
      </w:r>
    </w:p>
    <w:p w:rsidR="00F83E24" w:rsidRDefault="00F83E24">
      <w:pPr>
        <w:pStyle w:val="newncpi"/>
      </w:pPr>
      <w:r>
        <w:t>Каждое Договаривающееся государство имеет неограниченное право производить вручение судебных документов лицам, находящимся за границей, непосредственно через своих дипломатических или консульских агентов без применения какого-либо принуждения.</w:t>
      </w:r>
    </w:p>
    <w:p w:rsidR="00F83E24" w:rsidRDefault="00F83E24">
      <w:pPr>
        <w:pStyle w:val="newncpi"/>
      </w:pPr>
      <w:r>
        <w:t>Любое государство может заявить, что оно возражает против такого вручения на своей территории, за исключением случаев, когда документ подлежит вручению гражданину запрашивающего государства.</w:t>
      </w:r>
    </w:p>
    <w:p w:rsidR="00F83E24" w:rsidRDefault="00F83E24">
      <w:pPr>
        <w:pStyle w:val="articlect"/>
      </w:pPr>
      <w:r>
        <w:t>Статья 9</w:t>
      </w:r>
    </w:p>
    <w:p w:rsidR="00F83E24" w:rsidRDefault="00F83E24">
      <w:pPr>
        <w:pStyle w:val="newncpi"/>
      </w:pPr>
      <w:r>
        <w:t>Каждое Договаривающееся государство имеет неограниченное право в дополнение использовать консульские каналы для направления документов, для целей вручения, тем органам власти другого Договаривающегося государства, которые назначены последним для этой цели.</w:t>
      </w:r>
    </w:p>
    <w:p w:rsidR="00F83E24" w:rsidRDefault="00F83E24">
      <w:pPr>
        <w:pStyle w:val="newncpi"/>
      </w:pPr>
      <w:r>
        <w:t>Каждое Договаривающееся государство может, если того требуют исключительные обстоятельства, использовать с этой же целью дипломатические каналы.</w:t>
      </w:r>
    </w:p>
    <w:p w:rsidR="00F83E24" w:rsidRDefault="00F83E24">
      <w:pPr>
        <w:pStyle w:val="articlect"/>
      </w:pPr>
      <w:r>
        <w:lastRenderedPageBreak/>
        <w:t>Статья 10</w:t>
      </w:r>
    </w:p>
    <w:p w:rsidR="00F83E24" w:rsidRDefault="00F83E24">
      <w:pPr>
        <w:pStyle w:val="newncpi"/>
      </w:pPr>
      <w:r>
        <w:t>При условии, что запрашиваемое государство не возражает, настоящая Конвенция не ограничивает:</w:t>
      </w:r>
    </w:p>
    <w:p w:rsidR="00F83E24" w:rsidRDefault="00F83E24">
      <w:pPr>
        <w:pStyle w:val="newncpi"/>
      </w:pPr>
      <w:r>
        <w:t>а) возможность пересылки судебных документов по почте непосредственно лицам, находящимся за границей,</w:t>
      </w:r>
    </w:p>
    <w:p w:rsidR="00F83E24" w:rsidRDefault="00F83E24">
      <w:pPr>
        <w:pStyle w:val="newncpi"/>
      </w:pPr>
      <w:r>
        <w:t>b) возможность для судебных исполнителей и других компетентных должностных лиц запрашивающего государства производить вручение судебных документов непосредственно через судебных исполнителей и других компетентных должностных лиц запрашиваемого государства,</w:t>
      </w:r>
    </w:p>
    <w:p w:rsidR="00F83E24" w:rsidRDefault="00F83E24">
      <w:pPr>
        <w:pStyle w:val="newncpi"/>
      </w:pPr>
      <w:r>
        <w:t>с) возможности вручения заинтересованными в проведении судебного разбирательства лицами этих документов непосредственно через судебных исполнителей или компетентных должностных лиц запрашиваемого государства.</w:t>
      </w:r>
    </w:p>
    <w:p w:rsidR="00F83E24" w:rsidRDefault="00F83E24">
      <w:pPr>
        <w:pStyle w:val="articlect"/>
      </w:pPr>
      <w:r>
        <w:t>Статья 11</w:t>
      </w:r>
    </w:p>
    <w:p w:rsidR="00F83E24" w:rsidRDefault="00F83E24">
      <w:pPr>
        <w:pStyle w:val="newncpi"/>
      </w:pPr>
      <w:r>
        <w:t>Настоящая Конвенция не препятствует двум или нескольким Договаривающимся государствам достичь соглашения о разрешении с целью вручения судебных документов использования иных каналов передачи, чем те, которые указаны в предыдущих статьях и, в частности, прямых сношений между их соответствующими органами власти.</w:t>
      </w:r>
    </w:p>
    <w:p w:rsidR="00F83E24" w:rsidRDefault="00F83E24">
      <w:pPr>
        <w:pStyle w:val="articlect"/>
      </w:pPr>
      <w:r>
        <w:t>Статья 12</w:t>
      </w:r>
    </w:p>
    <w:p w:rsidR="00F83E24" w:rsidRDefault="00F83E24">
      <w:pPr>
        <w:pStyle w:val="newncpi"/>
      </w:pPr>
      <w:r>
        <w:t>Вручение судебных документов, исходящих из Договаривающегося государства, не может служить поводом для взыскания каких бы то ни было сборов или издержек в связи с действиями, предпринятыми запрашиваемым государством.</w:t>
      </w:r>
    </w:p>
    <w:p w:rsidR="00F83E24" w:rsidRDefault="00F83E24">
      <w:pPr>
        <w:pStyle w:val="newncpi"/>
      </w:pPr>
      <w:r>
        <w:t>Запрашивающее государство оплачивает или возмещает расходы, возникшие в связи:</w:t>
      </w:r>
    </w:p>
    <w:p w:rsidR="00F83E24" w:rsidRDefault="00F83E24">
      <w:pPr>
        <w:pStyle w:val="newncpi"/>
      </w:pPr>
      <w:r>
        <w:t>а) с участием судебного исполнителя или лица, компетентного в соответствии с правом запрашиваемого государства,</w:t>
      </w:r>
    </w:p>
    <w:p w:rsidR="00F83E24" w:rsidRDefault="00F83E24">
      <w:pPr>
        <w:pStyle w:val="newncpi"/>
      </w:pPr>
      <w:r>
        <w:t>b) применением особого способа вручения.</w:t>
      </w:r>
    </w:p>
    <w:p w:rsidR="00F83E24" w:rsidRDefault="00F83E24">
      <w:pPr>
        <w:pStyle w:val="articlect"/>
      </w:pPr>
      <w:r>
        <w:t>Статья 13</w:t>
      </w:r>
    </w:p>
    <w:p w:rsidR="00F83E24" w:rsidRDefault="00F83E24">
      <w:pPr>
        <w:pStyle w:val="newncpi"/>
      </w:pPr>
      <w:r>
        <w:t>Если просьба о вручении соответствует положениям настоящей Конвенции, запрашиваемое государство может отказать произвести такое вручение, только если оно полагает, что такое вручение нарушит его суверенитет или безопасность.</w:t>
      </w:r>
    </w:p>
    <w:p w:rsidR="00F83E24" w:rsidRDefault="00F83E24">
      <w:pPr>
        <w:pStyle w:val="newncpi"/>
      </w:pPr>
      <w:r>
        <w:t>Такое государство не может отказать произвести вручение лишь на том основании, что согласно его внутреннему праву оно обладает исключительной юрисдикцией в отношении предмета разбирательства, или его внутреннее право не допускает проведение судебного разбирательства, в связи с которым направлена просьба.</w:t>
      </w:r>
    </w:p>
    <w:p w:rsidR="00F83E24" w:rsidRDefault="00F83E24">
      <w:pPr>
        <w:pStyle w:val="newncpi"/>
      </w:pPr>
      <w:r>
        <w:t>Центральный орган в случае отказа незамедлительно уведомляет запрашивающий орган и указывает причины отказа.</w:t>
      </w:r>
    </w:p>
    <w:p w:rsidR="00F83E24" w:rsidRDefault="00F83E24">
      <w:pPr>
        <w:pStyle w:val="articlect"/>
      </w:pPr>
      <w:r>
        <w:t>Статья 14</w:t>
      </w:r>
    </w:p>
    <w:p w:rsidR="00F83E24" w:rsidRDefault="00F83E24">
      <w:pPr>
        <w:pStyle w:val="newncpi"/>
      </w:pPr>
      <w:r>
        <w:t>Затруднения, которые могут возникнуть в связи с передачей судебных документов для их вручения разрешаются по дипломатическим каналам.</w:t>
      </w:r>
    </w:p>
    <w:p w:rsidR="00F83E24" w:rsidRDefault="00F83E24">
      <w:pPr>
        <w:pStyle w:val="articlect"/>
      </w:pPr>
      <w:r>
        <w:t>Статья 15</w:t>
      </w:r>
    </w:p>
    <w:p w:rsidR="00F83E24" w:rsidRDefault="00F83E24">
      <w:pPr>
        <w:pStyle w:val="newncpi"/>
      </w:pPr>
      <w:r>
        <w:t>Если приказ о вызове в суд или аналогичный документ был передан за границу для целей вручения в соответствии с положениями настоящей Конвенции, и ответчик не явился, то судебное решение не выносится до тех пор, пока не установлено, что:</w:t>
      </w:r>
    </w:p>
    <w:p w:rsidR="00F83E24" w:rsidRDefault="00F83E24">
      <w:pPr>
        <w:pStyle w:val="newncpi"/>
      </w:pPr>
      <w:r>
        <w:lastRenderedPageBreak/>
        <w:t>а) документ был вручен способом, установленным внутренним правом запрашиваемого государства для вручения документов, составленных в этом государстве, лицам, находящимся на его территории, или</w:t>
      </w:r>
    </w:p>
    <w:p w:rsidR="00F83E24" w:rsidRDefault="00F83E24">
      <w:pPr>
        <w:pStyle w:val="newncpi"/>
      </w:pPr>
      <w:r>
        <w:t>b) документ был действительно доставлен ответчику или в место его проживания другим способом, определенным настоящей Конвенцией, и что в любом из этих случаев вручение или доставка была произведена в пределах разумного времени для того, чтобы ответчик мог осуществить свою защиту.</w:t>
      </w:r>
    </w:p>
    <w:p w:rsidR="00F83E24" w:rsidRDefault="00F83E24">
      <w:pPr>
        <w:pStyle w:val="newncpi"/>
      </w:pPr>
      <w:r>
        <w:t xml:space="preserve">Каждое Договаривающееся государство имеет возможность заявить, что судья может вынести </w:t>
      </w:r>
      <w:proofErr w:type="gramStart"/>
      <w:r>
        <w:t>решение</w:t>
      </w:r>
      <w:proofErr w:type="gramEnd"/>
      <w:r>
        <w:t xml:space="preserve"> несмотря на положения части первой настоящей статьи, даже если извещение о вручении или доставке не было получено, при выполнении всех следующих условий:</w:t>
      </w:r>
    </w:p>
    <w:p w:rsidR="00F83E24" w:rsidRDefault="00F83E24">
      <w:pPr>
        <w:pStyle w:val="newncpi"/>
      </w:pPr>
      <w:r>
        <w:t>а) документ был передан одним из определенных настоящей Конвенцией способов,</w:t>
      </w:r>
    </w:p>
    <w:p w:rsidR="00F83E24" w:rsidRDefault="00F83E24">
      <w:pPr>
        <w:pStyle w:val="newncpi"/>
      </w:pPr>
      <w:r>
        <w:t>b) с момента отправки документа прошел срок, который определяется судьей в качестве достаточного для данного дела и не может быть менее шести месяцев,</w:t>
      </w:r>
    </w:p>
    <w:p w:rsidR="00F83E24" w:rsidRDefault="00F83E24">
      <w:pPr>
        <w:pStyle w:val="newncpi"/>
      </w:pPr>
      <w:r>
        <w:t xml:space="preserve">с) извещение не было </w:t>
      </w:r>
      <w:proofErr w:type="gramStart"/>
      <w:r>
        <w:t>получено</w:t>
      </w:r>
      <w:proofErr w:type="gramEnd"/>
      <w:r>
        <w:t xml:space="preserve"> несмотря на то, что были приняты все разумные усилия для его получения через компетентные органы запрашиваемого государства.</w:t>
      </w:r>
    </w:p>
    <w:p w:rsidR="00F83E24" w:rsidRDefault="00F83E24">
      <w:pPr>
        <w:pStyle w:val="newncpi"/>
      </w:pPr>
      <w:r>
        <w:t xml:space="preserve">Несмотря на положения предыдущей </w:t>
      </w:r>
      <w:proofErr w:type="gramStart"/>
      <w:r>
        <w:t>части</w:t>
      </w:r>
      <w:proofErr w:type="gramEnd"/>
      <w:r>
        <w:t xml:space="preserve"> судья может, в случае безотлагательности, вынести решение о принятии любых временных или обеспечительных мер.</w:t>
      </w:r>
    </w:p>
    <w:p w:rsidR="00F83E24" w:rsidRDefault="00F83E24">
      <w:pPr>
        <w:pStyle w:val="articlect"/>
      </w:pPr>
      <w:r>
        <w:t>Статья 16</w:t>
      </w:r>
    </w:p>
    <w:p w:rsidR="00F83E24" w:rsidRDefault="00F83E24">
      <w:pPr>
        <w:pStyle w:val="newncpi"/>
      </w:pPr>
      <w:r>
        <w:t>Если приказ о вызове в суд или аналогичный документ был передан за границу для целей вручения в соответствии положениями настоящей Конвенции, и в отношении неявившегося ответчика было вынесено решение, судья имеет право освободить ответчика от последствий истечения срока для пересмотра решения при выполнении следующих условий:</w:t>
      </w:r>
    </w:p>
    <w:p w:rsidR="00F83E24" w:rsidRDefault="00F83E24">
      <w:pPr>
        <w:pStyle w:val="newncpi"/>
      </w:pPr>
      <w:r>
        <w:t>а) ответчик, при отсутствии вины с его стороны, получил документ в сроки, недостаточные для организации своей защиты, или решение в сроки, недостаточные для инициирования пересмотра, и</w:t>
      </w:r>
    </w:p>
    <w:p w:rsidR="00F83E24" w:rsidRDefault="00F83E24">
      <w:pPr>
        <w:pStyle w:val="newncpi"/>
      </w:pPr>
      <w:r>
        <w:t xml:space="preserve">b) аргументы, представленные ответчиком, </w:t>
      </w:r>
      <w:proofErr w:type="spellStart"/>
      <w:r>
        <w:t>prima</w:t>
      </w:r>
      <w:proofErr w:type="spellEnd"/>
      <w:r>
        <w:t xml:space="preserve"> </w:t>
      </w:r>
      <w:proofErr w:type="spellStart"/>
      <w:r>
        <w:t>facie</w:t>
      </w:r>
      <w:proofErr w:type="spellEnd"/>
      <w:r>
        <w:t xml:space="preserve"> не кажутся лишенными оснований.</w:t>
      </w:r>
    </w:p>
    <w:p w:rsidR="00F83E24" w:rsidRDefault="00F83E24">
      <w:pPr>
        <w:pStyle w:val="newncpi"/>
      </w:pPr>
      <w:r>
        <w:t>Просьба о пересмотре решения может быть представлена только в пределах разумного срока после того, как ответчик узнал о решении.</w:t>
      </w:r>
    </w:p>
    <w:p w:rsidR="00F83E24" w:rsidRDefault="00F83E24">
      <w:pPr>
        <w:pStyle w:val="newncpi"/>
      </w:pPr>
      <w:r>
        <w:t xml:space="preserve">Каждое Договаривающееся государство может заявить, что просьба не будет рассматриваться, если она представлена после истечения срока, указанного в заявлении, который в любом случае не может быть менее одного года </w:t>
      </w:r>
      <w:proofErr w:type="gramStart"/>
      <w:r>
        <w:t>с даты вынесения</w:t>
      </w:r>
      <w:proofErr w:type="gramEnd"/>
      <w:r>
        <w:t xml:space="preserve"> решения.</w:t>
      </w:r>
    </w:p>
    <w:p w:rsidR="00F83E24" w:rsidRDefault="00F83E24">
      <w:pPr>
        <w:pStyle w:val="newncpi"/>
      </w:pPr>
      <w:r>
        <w:t xml:space="preserve">Эта статья не распространяется на решения, касающиеся статуса и </w:t>
      </w:r>
      <w:proofErr w:type="spellStart"/>
      <w:r>
        <w:t>праводееспособности</w:t>
      </w:r>
      <w:proofErr w:type="spellEnd"/>
      <w:r>
        <w:t xml:space="preserve"> лиц.</w:t>
      </w:r>
    </w:p>
    <w:p w:rsidR="00F83E24" w:rsidRDefault="00F83E24">
      <w:pPr>
        <w:pStyle w:val="chapter"/>
      </w:pPr>
      <w:r>
        <w:t>ГЛАВА II</w:t>
      </w:r>
      <w:r>
        <w:br/>
        <w:t>ВНЕСУДЕБНЫЕ ДОКУМЕНТЫ</w:t>
      </w:r>
    </w:p>
    <w:p w:rsidR="00F83E24" w:rsidRDefault="00F83E24">
      <w:pPr>
        <w:pStyle w:val="articlect"/>
      </w:pPr>
      <w:r>
        <w:t>Статья 17</w:t>
      </w:r>
    </w:p>
    <w:p w:rsidR="00F83E24" w:rsidRDefault="00F83E24">
      <w:pPr>
        <w:pStyle w:val="newncpi"/>
      </w:pPr>
      <w:r>
        <w:t>Внесудебные документы, исходящие от органов власти и судебных исполнителей Договаривающегося государства могут передаваться с целью вручения в другое Договаривающееся государство способами и в соответствии с положениями настоящей Конвенции.</w:t>
      </w:r>
    </w:p>
    <w:p w:rsidR="00F83E24" w:rsidRDefault="00F83E24">
      <w:pPr>
        <w:pStyle w:val="newncpi"/>
      </w:pPr>
    </w:p>
    <w:p w:rsidR="00F83E24" w:rsidRDefault="00F83E24">
      <w:pPr>
        <w:pStyle w:val="newncpi"/>
      </w:pPr>
    </w:p>
    <w:p w:rsidR="00F83E24" w:rsidRDefault="00F83E24">
      <w:pPr>
        <w:pStyle w:val="chapter"/>
      </w:pPr>
      <w:r>
        <w:lastRenderedPageBreak/>
        <w:t>ГЛАВА III</w:t>
      </w:r>
      <w:r>
        <w:br/>
        <w:t>ОБЩИЕ ПОЛОЖЕНИЯ</w:t>
      </w:r>
    </w:p>
    <w:p w:rsidR="00F83E24" w:rsidRDefault="00F83E24">
      <w:pPr>
        <w:pStyle w:val="articlect"/>
      </w:pPr>
      <w:r>
        <w:t>Статья 18</w:t>
      </w:r>
    </w:p>
    <w:p w:rsidR="00F83E24" w:rsidRDefault="00F83E24">
      <w:pPr>
        <w:pStyle w:val="newncpi"/>
      </w:pPr>
      <w:r>
        <w:t>Каждое Договаривающееся государство может назначить другие органы власти в дополнение к Центральному органу и определить сферу их компетенции.</w:t>
      </w:r>
    </w:p>
    <w:p w:rsidR="00F83E24" w:rsidRDefault="00F83E24">
      <w:pPr>
        <w:pStyle w:val="newncpi"/>
      </w:pPr>
      <w:r>
        <w:t>Запрашивающий орган, тем не менее, имеет право в любом случае направить просьбу Центральному органу.</w:t>
      </w:r>
    </w:p>
    <w:p w:rsidR="00F83E24" w:rsidRDefault="00F83E24">
      <w:pPr>
        <w:pStyle w:val="newncpi"/>
      </w:pPr>
      <w:r>
        <w:t>Федеративные государства имеют возможность назначить более одного Центрального органа.</w:t>
      </w:r>
    </w:p>
    <w:p w:rsidR="00F83E24" w:rsidRDefault="00F83E24">
      <w:pPr>
        <w:pStyle w:val="articlect"/>
      </w:pPr>
      <w:r>
        <w:t>Статья 19</w:t>
      </w:r>
    </w:p>
    <w:p w:rsidR="00F83E24" w:rsidRDefault="00F83E24">
      <w:pPr>
        <w:pStyle w:val="newncpi"/>
      </w:pPr>
      <w:r>
        <w:t>Настоящая Конвенция не затрагивает действие положений внутреннего права Договаривающегося государства, позволяющие использовать иные способы пересылки документов, поступающих из-за границы, для вручения на его территории, чем те, которые указаны в предыдущих статьях.</w:t>
      </w:r>
    </w:p>
    <w:p w:rsidR="00F83E24" w:rsidRDefault="00F83E24">
      <w:pPr>
        <w:pStyle w:val="articlect"/>
      </w:pPr>
      <w:r>
        <w:t>Статья 20</w:t>
      </w:r>
    </w:p>
    <w:p w:rsidR="00F83E24" w:rsidRDefault="00F83E24">
      <w:pPr>
        <w:pStyle w:val="newncpi"/>
      </w:pPr>
      <w:r>
        <w:t>Настоящая Конвенция не препятствует заключению между двумя или более Договаривающимися государствами соглашения с целью исключить требования в отношении:</w:t>
      </w:r>
    </w:p>
    <w:p w:rsidR="00F83E24" w:rsidRDefault="00F83E24">
      <w:pPr>
        <w:pStyle w:val="newncpi"/>
      </w:pPr>
      <w:r>
        <w:t>а) представления направляемых документов в соответствии с частью второй статьи 3 в двух экземплярах,</w:t>
      </w:r>
    </w:p>
    <w:p w:rsidR="00F83E24" w:rsidRDefault="00F83E24">
      <w:pPr>
        <w:pStyle w:val="newncpi"/>
      </w:pPr>
      <w:r>
        <w:t>b) языка в соответствии с третьей частью статьи 5 и статьей 7,</w:t>
      </w:r>
    </w:p>
    <w:p w:rsidR="00F83E24" w:rsidRDefault="00F83E24">
      <w:pPr>
        <w:pStyle w:val="newncpi"/>
      </w:pPr>
      <w:r>
        <w:t>с) положений части четвертой статьи 5,</w:t>
      </w:r>
    </w:p>
    <w:p w:rsidR="00F83E24" w:rsidRDefault="00F83E24">
      <w:pPr>
        <w:pStyle w:val="newncpi"/>
      </w:pPr>
      <w:r>
        <w:t>d) положений части второй статьи 12.</w:t>
      </w:r>
    </w:p>
    <w:p w:rsidR="00F83E24" w:rsidRDefault="00F83E24">
      <w:pPr>
        <w:pStyle w:val="articlect"/>
      </w:pPr>
      <w:r>
        <w:t>Статья 21</w:t>
      </w:r>
    </w:p>
    <w:p w:rsidR="00F83E24" w:rsidRDefault="00F83E24">
      <w:pPr>
        <w:pStyle w:val="newncpi"/>
      </w:pPr>
      <w:r>
        <w:t>Каждое Договаривающееся государство во время сдачи на хранение своей ратификационной грамоты или документа о присоединении или позже информирует Министерство иностранных дел Нидерландов о следующем:</w:t>
      </w:r>
    </w:p>
    <w:p w:rsidR="00F83E24" w:rsidRDefault="00F83E24">
      <w:pPr>
        <w:pStyle w:val="newncpi"/>
      </w:pPr>
      <w:r>
        <w:t>а) </w:t>
      </w:r>
      <w:proofErr w:type="gramStart"/>
      <w:r>
        <w:t>назначении</w:t>
      </w:r>
      <w:proofErr w:type="gramEnd"/>
      <w:r>
        <w:t xml:space="preserve"> органов в соответствии со статьями 2 и 18;</w:t>
      </w:r>
    </w:p>
    <w:p w:rsidR="00F83E24" w:rsidRDefault="00F83E24">
      <w:pPr>
        <w:pStyle w:val="newncpi"/>
      </w:pPr>
      <w:r>
        <w:t>b) </w:t>
      </w:r>
      <w:proofErr w:type="gramStart"/>
      <w:r>
        <w:t>назначении</w:t>
      </w:r>
      <w:proofErr w:type="gramEnd"/>
      <w:r>
        <w:t xml:space="preserve"> органа, компетентного составлять извещение в соответствии со статьей 6;</w:t>
      </w:r>
    </w:p>
    <w:p w:rsidR="00F83E24" w:rsidRDefault="00F83E24">
      <w:pPr>
        <w:pStyle w:val="newncpi"/>
      </w:pPr>
      <w:r>
        <w:t>с) </w:t>
      </w:r>
      <w:proofErr w:type="gramStart"/>
      <w:r>
        <w:t>назначении</w:t>
      </w:r>
      <w:proofErr w:type="gramEnd"/>
      <w:r>
        <w:t xml:space="preserve"> органа, компетентного получать документы, передаваемые по консульским каналам, в соответствии со статьей 9.</w:t>
      </w:r>
    </w:p>
    <w:p w:rsidR="00F83E24" w:rsidRDefault="00F83E24">
      <w:pPr>
        <w:pStyle w:val="newncpi"/>
      </w:pPr>
      <w:r>
        <w:t>Каждое Договаривающееся государство таким же способом информирует Министерство, если необходимо, о:</w:t>
      </w:r>
    </w:p>
    <w:p w:rsidR="00F83E24" w:rsidRDefault="00F83E24">
      <w:pPr>
        <w:pStyle w:val="newncpi"/>
      </w:pPr>
      <w:r>
        <w:t>а) </w:t>
      </w:r>
      <w:proofErr w:type="gramStart"/>
      <w:r>
        <w:t>возражении</w:t>
      </w:r>
      <w:proofErr w:type="gramEnd"/>
      <w:r>
        <w:t xml:space="preserve"> против использования способов передачи в соответствии со статьями 8 и 10,</w:t>
      </w:r>
    </w:p>
    <w:p w:rsidR="00F83E24" w:rsidRDefault="00F83E24">
      <w:pPr>
        <w:pStyle w:val="newncpi"/>
      </w:pPr>
      <w:r>
        <w:t>b) </w:t>
      </w:r>
      <w:proofErr w:type="gramStart"/>
      <w:r>
        <w:t>заявлениях</w:t>
      </w:r>
      <w:proofErr w:type="gramEnd"/>
      <w:r>
        <w:t xml:space="preserve"> согласно части второй статьи 15 и части третьей статьи 16,</w:t>
      </w:r>
    </w:p>
    <w:p w:rsidR="00F83E24" w:rsidRDefault="00F83E24">
      <w:pPr>
        <w:pStyle w:val="newncpi"/>
      </w:pPr>
      <w:r>
        <w:t>с) всех изменениях вышеупомянутых назначений, возражений и заявлений.</w:t>
      </w:r>
    </w:p>
    <w:p w:rsidR="00F83E24" w:rsidRDefault="00F83E24">
      <w:pPr>
        <w:pStyle w:val="articlect"/>
      </w:pPr>
      <w:r>
        <w:t>Статья 22</w:t>
      </w:r>
    </w:p>
    <w:p w:rsidR="00F83E24" w:rsidRDefault="00F83E24">
      <w:pPr>
        <w:pStyle w:val="newncpi"/>
      </w:pPr>
      <w:r>
        <w:t>Между участниками настоящей Конвенции, которые также являются участниками одной или обеих Конвенций по вопросам гражданского процесса, подписанных в Гааге 17 июля 1905 года и 1 марта 1954 года, эта Конвенция заменяет статьи 1–7 этих Конвенций.</w:t>
      </w:r>
    </w:p>
    <w:p w:rsidR="00F83E24" w:rsidRDefault="00F83E24">
      <w:pPr>
        <w:pStyle w:val="articlect"/>
      </w:pPr>
    </w:p>
    <w:p w:rsidR="00F83E24" w:rsidRDefault="00F83E24">
      <w:pPr>
        <w:pStyle w:val="articlect"/>
      </w:pPr>
      <w:r>
        <w:lastRenderedPageBreak/>
        <w:t>Статья 23</w:t>
      </w:r>
    </w:p>
    <w:p w:rsidR="00F83E24" w:rsidRDefault="00F83E24">
      <w:pPr>
        <w:pStyle w:val="newncpi"/>
      </w:pPr>
      <w:r>
        <w:t>Действие настоящей Конвенции не затрагивает применение статьи 23 Конвенции по вопросам гражданского процесса, подписанной в Гааге 17 июля 1905 года, или статьи 24 Конвенции по вопросам гражданского процесса, подписанной в Гааге 1 марта 1954 года.</w:t>
      </w:r>
    </w:p>
    <w:p w:rsidR="00F83E24" w:rsidRDefault="00F83E24">
      <w:pPr>
        <w:pStyle w:val="newncpi"/>
      </w:pPr>
      <w:r>
        <w:t>Однако эти статьи подлежат применению лишь в том случае, если используются способы сношений, аналогичные тем, которые предусмотрены в этих конвенциях.</w:t>
      </w:r>
    </w:p>
    <w:p w:rsidR="00F83E24" w:rsidRDefault="00F83E24">
      <w:pPr>
        <w:pStyle w:val="articlect"/>
      </w:pPr>
      <w:r>
        <w:t>Статья 24</w:t>
      </w:r>
    </w:p>
    <w:p w:rsidR="00F83E24" w:rsidRDefault="00F83E24">
      <w:pPr>
        <w:pStyle w:val="newncpi"/>
      </w:pPr>
      <w:r>
        <w:t xml:space="preserve">Дополнительные соглашения между участниками Конвенций 1905 и 1954 годов рассматриваются как в равной степени применимые к данной </w:t>
      </w:r>
      <w:bookmarkStart w:id="0" w:name="_GoBack"/>
      <w:bookmarkEnd w:id="0"/>
      <w:r>
        <w:t>Конвенции до тех пор, пока стороны не пришли к иному соглашению.</w:t>
      </w:r>
    </w:p>
    <w:p w:rsidR="00F83E24" w:rsidRDefault="00F83E24">
      <w:pPr>
        <w:pStyle w:val="articlect"/>
      </w:pPr>
      <w:r>
        <w:t>Статья 25</w:t>
      </w:r>
    </w:p>
    <w:p w:rsidR="00F83E24" w:rsidRDefault="00F83E24">
      <w:pPr>
        <w:pStyle w:val="newncpi"/>
      </w:pPr>
      <w:r>
        <w:t>Без ущерба для положений статей 22 и 24 настоящая Конвенция не затрагивает конвенций, содержащих положения по вопросам, регулируемым настоящей Конвенцией, в которых Договаривающиеся государства являются или станут сторонами.</w:t>
      </w:r>
    </w:p>
    <w:p w:rsidR="00F83E24" w:rsidRDefault="00F83E24">
      <w:pPr>
        <w:pStyle w:val="articlect"/>
      </w:pPr>
      <w:r>
        <w:t>Статья 26</w:t>
      </w:r>
    </w:p>
    <w:p w:rsidR="00F83E24" w:rsidRDefault="00F83E24">
      <w:pPr>
        <w:pStyle w:val="newncpi"/>
      </w:pPr>
      <w:r>
        <w:t>Настоящая Конвенция открыта для подписания странами, представленными на Десятой сессии Гаагской Конференции по международному частному праву.</w:t>
      </w:r>
    </w:p>
    <w:p w:rsidR="00F83E24" w:rsidRDefault="00F83E24">
      <w:pPr>
        <w:pStyle w:val="newncpi"/>
      </w:pPr>
      <w:r>
        <w:t>Конвенция подлежит ратификации, а ратификационные грамоты сдаются на хранение в Министерство иностранных дел Королевства Нидерландов.</w:t>
      </w:r>
    </w:p>
    <w:p w:rsidR="00F83E24" w:rsidRDefault="00F83E24">
      <w:pPr>
        <w:pStyle w:val="articlect"/>
      </w:pPr>
      <w:r>
        <w:t>Статья 27</w:t>
      </w:r>
    </w:p>
    <w:p w:rsidR="00F83E24" w:rsidRDefault="00F83E24">
      <w:pPr>
        <w:pStyle w:val="newncpi"/>
      </w:pPr>
      <w:r>
        <w:t>Настоящая Конвенция вступает в силу на шестидесятый день после подачи третьей ратификационной грамоты в соответствии с частью второй статьи 26.</w:t>
      </w:r>
    </w:p>
    <w:p w:rsidR="00F83E24" w:rsidRDefault="00F83E24">
      <w:pPr>
        <w:pStyle w:val="newncpi"/>
      </w:pPr>
      <w:r>
        <w:t>Конвенция вступает в силу для каждого подписавшего государства, которое ратифицирует ее впоследствии, на шестидесятый день после сдачи на хранение его ратификационной грамоты.</w:t>
      </w:r>
    </w:p>
    <w:p w:rsidR="00F83E24" w:rsidRDefault="00F83E24">
      <w:pPr>
        <w:pStyle w:val="articlect"/>
      </w:pPr>
      <w:r>
        <w:t>Статья 28</w:t>
      </w:r>
    </w:p>
    <w:p w:rsidR="00F83E24" w:rsidRDefault="00F83E24">
      <w:pPr>
        <w:pStyle w:val="newncpi"/>
      </w:pPr>
      <w:r>
        <w:t>Любое государство, не представленное на Десятой сессии Гаагской Конференции по международному частному праву, может присоединиться к настоящей Конвенции после ее вступления в силу в соответствии с частью первой статьи 27. Документ о присоединении сдается на хранение в Министерство иностранных дел Нидерландов.</w:t>
      </w:r>
    </w:p>
    <w:p w:rsidR="00F83E24" w:rsidRDefault="00F83E24">
      <w:pPr>
        <w:pStyle w:val="newncpi"/>
      </w:pPr>
      <w:r>
        <w:t>Конвенция вступает в силу для такого государства при отсутствии возражений со стороны государства, которое ратифицировало Конвенцию до этого момента, о чем уведомляется Министерство иностранных дел Нидерландов, через шесть месяцев после даты, когда Министерство уведомило о таком присоединении.</w:t>
      </w:r>
    </w:p>
    <w:p w:rsidR="00F83E24" w:rsidRDefault="00F83E24">
      <w:pPr>
        <w:pStyle w:val="newncpi"/>
      </w:pPr>
      <w:r>
        <w:t>При отсутствии таких возражений Конвенция вступает в силу в отношении присоединяющегося государства в первый день месяца после истечения последнего из сроков, упомянутых в предыдущей части.</w:t>
      </w:r>
    </w:p>
    <w:p w:rsidR="00F83E24" w:rsidRDefault="00F83E24">
      <w:pPr>
        <w:pStyle w:val="articlect"/>
      </w:pPr>
      <w:r>
        <w:t>Статья 29</w:t>
      </w:r>
    </w:p>
    <w:p w:rsidR="00F83E24" w:rsidRDefault="00F83E24">
      <w:pPr>
        <w:pStyle w:val="newncpi"/>
      </w:pPr>
      <w:r>
        <w:t xml:space="preserve">Любое государство во время подписания, ратификации или присоединения может заявить, что настоящая Конвенция распространяется на все территории, за </w:t>
      </w:r>
      <w:r>
        <w:lastRenderedPageBreak/>
        <w:t>международные отношения которых оно отвечает, или на одну или более из них. Такое заявление вступает в силу в день вступления Конвенции в силу для такого государства.</w:t>
      </w:r>
    </w:p>
    <w:p w:rsidR="00F83E24" w:rsidRDefault="00F83E24">
      <w:pPr>
        <w:pStyle w:val="newncpi"/>
      </w:pPr>
      <w:r>
        <w:t>В любое время впоследствии о любом расширении сферы применения сообщается Министерству иностранных дел Нидерландов.</w:t>
      </w:r>
    </w:p>
    <w:p w:rsidR="00F83E24" w:rsidRDefault="00F83E24">
      <w:pPr>
        <w:pStyle w:val="newncpi"/>
      </w:pPr>
      <w:r>
        <w:t>Конвенция вступает в силу для территорий, упомянутых в уведомлении о расширении сферы ее действия, на шестидесятый день после уведомления, указанного в предшествующем абзаце.</w:t>
      </w:r>
    </w:p>
    <w:p w:rsidR="00F83E24" w:rsidRDefault="00F83E24">
      <w:pPr>
        <w:pStyle w:val="articlect"/>
      </w:pPr>
      <w:r>
        <w:t>Статья 30</w:t>
      </w:r>
    </w:p>
    <w:p w:rsidR="00F83E24" w:rsidRDefault="00F83E24">
      <w:pPr>
        <w:pStyle w:val="newncpi"/>
      </w:pPr>
      <w:r>
        <w:t xml:space="preserve">Настоящая Конвенция остается </w:t>
      </w:r>
      <w:proofErr w:type="gramStart"/>
      <w:r>
        <w:t>в силе в течение пяти лет с даты ее вступления в силу в соответствии</w:t>
      </w:r>
      <w:proofErr w:type="gramEnd"/>
      <w:r>
        <w:t xml:space="preserve"> с частью первой статьи 27, включая государства, которые ратифицировали ее или присоединились к ней впоследствии.</w:t>
      </w:r>
    </w:p>
    <w:p w:rsidR="00F83E24" w:rsidRDefault="00F83E24">
      <w:pPr>
        <w:pStyle w:val="newncpi"/>
      </w:pPr>
      <w:r>
        <w:t>Если Конвенция не денонсируется, ее действие автоматически возобновляется каждые пять лет.</w:t>
      </w:r>
    </w:p>
    <w:p w:rsidR="00F83E24" w:rsidRDefault="00F83E24">
      <w:pPr>
        <w:pStyle w:val="newncpi"/>
      </w:pPr>
      <w:r>
        <w:t>Уведомление о денонсации направляется Министерству иностранных дел Королевства Нидерландов не менее чем за шесть месяцев до окончания пятилетнего периода.</w:t>
      </w:r>
    </w:p>
    <w:p w:rsidR="00F83E24" w:rsidRDefault="00F83E24">
      <w:pPr>
        <w:pStyle w:val="newncpi"/>
      </w:pPr>
      <w:r>
        <w:t>Действие денонсации может быть ограничено определенными территориями, к которым применяется Конвенция.</w:t>
      </w:r>
    </w:p>
    <w:p w:rsidR="00F83E24" w:rsidRDefault="00F83E24">
      <w:pPr>
        <w:pStyle w:val="newncpi"/>
      </w:pPr>
      <w:r>
        <w:t>Денонсация имеет силу только в отношении государства, которое уведомило о ней. Конвенция остается в силе для других Договаривающихся государств.</w:t>
      </w:r>
    </w:p>
    <w:p w:rsidR="00F83E24" w:rsidRDefault="00F83E24">
      <w:pPr>
        <w:pStyle w:val="articlect"/>
      </w:pPr>
      <w:r>
        <w:t>Статья 31</w:t>
      </w:r>
    </w:p>
    <w:p w:rsidR="00F83E24" w:rsidRDefault="00F83E24">
      <w:pPr>
        <w:pStyle w:val="newncpi"/>
      </w:pPr>
      <w:r>
        <w:t>Министерство иностранных дел Нидерландов уведомляет государства, упомянутые в статье 26, и государства, которые присоединились в соответствии со статьей 28, о следующем:</w:t>
      </w:r>
    </w:p>
    <w:p w:rsidR="00F83E24" w:rsidRDefault="00F83E24">
      <w:pPr>
        <w:pStyle w:val="newncpi"/>
      </w:pPr>
      <w:r>
        <w:t>а) </w:t>
      </w:r>
      <w:proofErr w:type="gramStart"/>
      <w:r>
        <w:t>подписаниях</w:t>
      </w:r>
      <w:proofErr w:type="gramEnd"/>
      <w:r>
        <w:t xml:space="preserve"> и ратификациях в соответствии со статьей 26;</w:t>
      </w:r>
    </w:p>
    <w:p w:rsidR="00F83E24" w:rsidRDefault="00F83E24">
      <w:pPr>
        <w:pStyle w:val="newncpi"/>
      </w:pPr>
      <w:r>
        <w:t>b) дате вступления Конвенции в силу в соответствии с частью первой статьи 27;</w:t>
      </w:r>
    </w:p>
    <w:p w:rsidR="00F83E24" w:rsidRDefault="00F83E24">
      <w:pPr>
        <w:pStyle w:val="newncpi"/>
      </w:pPr>
      <w:r>
        <w:t>с) </w:t>
      </w:r>
      <w:proofErr w:type="gramStart"/>
      <w:r>
        <w:t>присоединениях</w:t>
      </w:r>
      <w:proofErr w:type="gramEnd"/>
      <w:r>
        <w:t>, в соответствии со статьей 28, и дате вступления их в силу;</w:t>
      </w:r>
    </w:p>
    <w:p w:rsidR="00F83E24" w:rsidRDefault="00F83E24">
      <w:pPr>
        <w:pStyle w:val="newncpi"/>
      </w:pPr>
      <w:r>
        <w:t>d) </w:t>
      </w:r>
      <w:proofErr w:type="gramStart"/>
      <w:r>
        <w:t>расширениях</w:t>
      </w:r>
      <w:proofErr w:type="gramEnd"/>
      <w:r>
        <w:t xml:space="preserve"> сферы применения в соответствии со статьей 29 и дате вступления их в силу;</w:t>
      </w:r>
    </w:p>
    <w:p w:rsidR="00F83E24" w:rsidRDefault="00F83E24">
      <w:pPr>
        <w:pStyle w:val="newncpi"/>
      </w:pPr>
      <w:r>
        <w:t>е) </w:t>
      </w:r>
      <w:proofErr w:type="gramStart"/>
      <w:r>
        <w:t>назначениях</w:t>
      </w:r>
      <w:proofErr w:type="gramEnd"/>
      <w:r>
        <w:t>, возражениях и заявлениях в соответствии со статьей 21;</w:t>
      </w:r>
    </w:p>
    <w:p w:rsidR="00F83E24" w:rsidRDefault="00F83E24">
      <w:pPr>
        <w:pStyle w:val="newncpi"/>
      </w:pPr>
      <w:r>
        <w:t>f) </w:t>
      </w:r>
      <w:proofErr w:type="gramStart"/>
      <w:r>
        <w:t>денонсациях</w:t>
      </w:r>
      <w:proofErr w:type="gramEnd"/>
      <w:r>
        <w:t xml:space="preserve"> в соответствии с частью третьей статьи 30.</w:t>
      </w:r>
    </w:p>
    <w:p w:rsidR="00F83E24" w:rsidRDefault="00F83E24">
      <w:pPr>
        <w:pStyle w:val="newncpi"/>
        <w:spacing w:after="240"/>
      </w:pPr>
      <w:r>
        <w:t>В удостоверение чего нижеподписавшиеся, должным образом уполномоченные, подписали настоящую Конвенцию.</w:t>
      </w:r>
    </w:p>
    <w:p w:rsidR="00F83E24" w:rsidRDefault="00F83E24">
      <w:pPr>
        <w:pStyle w:val="newncpi"/>
      </w:pPr>
      <w:r>
        <w:t>Совершено в Гааге 15 ноября 1965 года на французском и английском языках, причем оба текста имеют одинаковую силу, в одном экземпляре, который сдается на хранение в архив Правительства Нидерландов, и заверенная копия которого рассылается по дипломатическим каналам каждому из государств, представленных на Десятой сессии Гаагской Конференции по международному частному праву.</w:t>
      </w:r>
    </w:p>
    <w:p w:rsidR="00F83E24" w:rsidRDefault="00F83E24">
      <w:pPr>
        <w:pStyle w:val="newncpi"/>
      </w:pPr>
      <w:r>
        <w:t> </w:t>
      </w:r>
    </w:p>
    <w:p w:rsidR="00F83E24" w:rsidRDefault="00F83E24">
      <w:pPr>
        <w:rPr>
          <w:rFonts w:eastAsia="Times New Roman"/>
        </w:rPr>
        <w:sectPr w:rsidR="00F83E24" w:rsidSect="00F83E24">
          <w:headerReference w:type="even" r:id="rId7"/>
          <w:headerReference w:type="default" r:id="rId8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F83E24" w:rsidRDefault="00F83E24">
      <w:pPr>
        <w:pStyle w:val="newncpi"/>
      </w:pPr>
      <w:r>
        <w:lastRenderedPageBreak/>
        <w:t> </w:t>
      </w:r>
    </w:p>
    <w:p w:rsidR="00F83E24" w:rsidRDefault="00F83E24">
      <w:pPr>
        <w:pStyle w:val="onestring"/>
      </w:pPr>
      <w:r>
        <w:t>Формуляры (просьба и извещение)</w:t>
      </w:r>
    </w:p>
    <w:p w:rsidR="00F83E24" w:rsidRDefault="00F83E24">
      <w:pPr>
        <w:pStyle w:val="onestring"/>
      </w:pPr>
      <w:r>
        <w:t>Краткое содержание документов, подлежащих вручению</w:t>
      </w:r>
      <w:r>
        <w:br/>
        <w:t>(приложения, предусмотренные в статьях 3, 5, 6 и 7)</w:t>
      </w:r>
    </w:p>
    <w:p w:rsidR="00F83E24" w:rsidRDefault="00F83E24">
      <w:pPr>
        <w:pStyle w:val="nonumheader"/>
      </w:pPr>
      <w:r>
        <w:t>ПРОСЬБА О ВРУЧЕНИИ ЗА ГРАНИЦЕЙ СУДЕБНЫХ И ВНЕСУДЕБНЫХ ДОКУМЕНТОВ</w:t>
      </w:r>
    </w:p>
    <w:p w:rsidR="00F83E24" w:rsidRDefault="00F83E24">
      <w:pPr>
        <w:pStyle w:val="newncpi"/>
        <w:jc w:val="center"/>
      </w:pPr>
      <w:r>
        <w:t>Конвенция о вручении за границей судебных и внесудебных документов по гражданским и торговым делам, подписанная в Гааге 15 ноября 1965 года.</w:t>
      </w:r>
    </w:p>
    <w:p w:rsidR="00F83E24" w:rsidRDefault="00F83E2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8"/>
        <w:gridCol w:w="3083"/>
        <w:gridCol w:w="3150"/>
      </w:tblGrid>
      <w:tr w:rsidR="00F83E24">
        <w:trPr>
          <w:trHeight w:val="240"/>
        </w:trPr>
        <w:tc>
          <w:tcPr>
            <w:tcW w:w="1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0"/>
              <w:jc w:val="left"/>
            </w:pPr>
            <w:r>
              <w:t xml:space="preserve">Имя, фамилия и адрес </w:t>
            </w:r>
            <w:proofErr w:type="gramStart"/>
            <w:r>
              <w:t>направляющего</w:t>
            </w:r>
            <w:proofErr w:type="gramEnd"/>
            <w:r>
              <w:t xml:space="preserve"> просьбу</w:t>
            </w:r>
          </w:p>
        </w:tc>
        <w:tc>
          <w:tcPr>
            <w:tcW w:w="16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  <w:jc w:val="left"/>
            </w:pPr>
            <w:r>
              <w:t> </w:t>
            </w:r>
          </w:p>
        </w:tc>
        <w:tc>
          <w:tcPr>
            <w:tcW w:w="16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  <w:jc w:val="left"/>
            </w:pPr>
            <w:r>
              <w:t>Адрес</w:t>
            </w:r>
            <w:r>
              <w:br/>
              <w:t>запрашиваемого органа</w:t>
            </w:r>
          </w:p>
        </w:tc>
      </w:tr>
    </w:tbl>
    <w:p w:rsidR="00F83E24" w:rsidRDefault="00F83E24">
      <w:pPr>
        <w:pStyle w:val="newncpi"/>
        <w:jc w:val="left"/>
      </w:pPr>
      <w:r>
        <w:t> </w:t>
      </w:r>
    </w:p>
    <w:p w:rsidR="00F83E24" w:rsidRDefault="00F83E24">
      <w:pPr>
        <w:pStyle w:val="newncpi"/>
      </w:pPr>
      <w:r>
        <w:t> </w:t>
      </w:r>
    </w:p>
    <w:p w:rsidR="00F83E24" w:rsidRDefault="00F83E24">
      <w:pPr>
        <w:pStyle w:val="newncpi0"/>
      </w:pPr>
      <w:r>
        <w:t>Нижеподписавшееся лицо имеет честь направить в двух экземплярах нижеперечисленные документы и в соответствии со статьей 5 вышеуказанной Конвенции просит о незамедлительном вручении одного экземпляра документов адресату, т.е. 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undline"/>
        <w:ind w:firstLine="3958"/>
      </w:pPr>
      <w:r>
        <w:t>(имя, фамилия и адрес)</w:t>
      </w:r>
    </w:p>
    <w:p w:rsidR="00F83E24" w:rsidRDefault="00F83E24">
      <w:pPr>
        <w:pStyle w:val="newncpi0"/>
      </w:pPr>
      <w:r>
        <w:t xml:space="preserve">а) в соответствии с положениями </w:t>
      </w:r>
      <w:proofErr w:type="gramStart"/>
      <w:r>
        <w:t>пункта</w:t>
      </w:r>
      <w:proofErr w:type="gramEnd"/>
      <w:r>
        <w:t xml:space="preserve"> а части первой статьи 5 Конвенции*;</w:t>
      </w:r>
    </w:p>
    <w:p w:rsidR="00F83E24" w:rsidRDefault="00F83E24">
      <w:pPr>
        <w:pStyle w:val="newncpi0"/>
      </w:pPr>
      <w:r>
        <w:t>b) следующим особым способом (пункт b части первой статьи 5)*: 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с) путем доставки адресату, если он принимает его добровольно (часть вторая статьи 5)*.</w:t>
      </w:r>
    </w:p>
    <w:p w:rsidR="00F83E24" w:rsidRDefault="00F83E24">
      <w:pPr>
        <w:pStyle w:val="newncpi0"/>
      </w:pPr>
      <w:r>
        <w:t xml:space="preserve">В соответствии с просьбой запрашиваемый орган возвращает </w:t>
      </w:r>
      <w:proofErr w:type="gramStart"/>
      <w:r>
        <w:t>запрашивающему</w:t>
      </w:r>
      <w:proofErr w:type="gramEnd"/>
      <w:r>
        <w:t xml:space="preserve"> экземпляр документов – и приложений* – с извещением, как указано на обороте.</w:t>
      </w:r>
    </w:p>
    <w:p w:rsidR="00F83E24" w:rsidRDefault="00F83E24">
      <w:pPr>
        <w:pStyle w:val="newncpi0"/>
      </w:pPr>
      <w:r>
        <w:t>Список документов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4"/>
        <w:gridCol w:w="2341"/>
        <w:gridCol w:w="2525"/>
        <w:gridCol w:w="1921"/>
      </w:tblGrid>
      <w:tr w:rsidR="00F83E24">
        <w:trPr>
          <w:trHeight w:val="240"/>
        </w:trPr>
        <w:tc>
          <w:tcPr>
            <w:tcW w:w="13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2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Совершено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___________________</w:t>
            </w:r>
          </w:p>
        </w:tc>
        <w:tc>
          <w:tcPr>
            <w:tcW w:w="10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______________</w:t>
            </w:r>
          </w:p>
        </w:tc>
      </w:tr>
      <w:tr w:rsidR="00F83E24">
        <w:trPr>
          <w:trHeight w:val="240"/>
        </w:trPr>
        <w:tc>
          <w:tcPr>
            <w:tcW w:w="13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2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undline"/>
              <w:jc w:val="center"/>
            </w:pPr>
            <w:r>
              <w:t>(место)</w:t>
            </w:r>
          </w:p>
        </w:tc>
        <w:tc>
          <w:tcPr>
            <w:tcW w:w="10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undline"/>
              <w:jc w:val="center"/>
            </w:pPr>
            <w:r>
              <w:t>(дата)</w:t>
            </w:r>
          </w:p>
        </w:tc>
      </w:tr>
      <w:tr w:rsidR="00F83E24">
        <w:trPr>
          <w:trHeight w:val="240"/>
        </w:trPr>
        <w:tc>
          <w:tcPr>
            <w:tcW w:w="13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2594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Подпись и/или печать</w:t>
            </w:r>
          </w:p>
        </w:tc>
        <w:tc>
          <w:tcPr>
            <w:tcW w:w="10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</w:tr>
    </w:tbl>
    <w:p w:rsidR="00F83E24" w:rsidRDefault="00F83E24">
      <w:pPr>
        <w:pStyle w:val="snoskiline"/>
      </w:pPr>
      <w:r>
        <w:t> </w:t>
      </w:r>
    </w:p>
    <w:p w:rsidR="00F83E24" w:rsidRDefault="00F83E24">
      <w:pPr>
        <w:pStyle w:val="snoskiline"/>
      </w:pPr>
      <w:r>
        <w:t>______________________________</w:t>
      </w:r>
    </w:p>
    <w:p w:rsidR="00F83E24" w:rsidRDefault="00F83E24">
      <w:pPr>
        <w:pStyle w:val="snoski"/>
        <w:spacing w:after="240"/>
      </w:pPr>
      <w:r>
        <w:t>*Ненужное зачеркнуть.</w:t>
      </w:r>
    </w:p>
    <w:p w:rsidR="00F83E24" w:rsidRDefault="00F83E24">
      <w:pPr>
        <w:pStyle w:val="newncpi"/>
      </w:pPr>
      <w:r>
        <w:t> </w:t>
      </w:r>
    </w:p>
    <w:p w:rsidR="00F83E24" w:rsidRDefault="00F83E24">
      <w:pPr>
        <w:pStyle w:val="onestring"/>
      </w:pPr>
      <w:r>
        <w:t>(Обратная сторона)</w:t>
      </w:r>
    </w:p>
    <w:p w:rsidR="00F83E24" w:rsidRDefault="00F83E24">
      <w:pPr>
        <w:pStyle w:val="onestring"/>
      </w:pPr>
      <w:r>
        <w:t> </w:t>
      </w:r>
    </w:p>
    <w:p w:rsidR="00F83E24" w:rsidRDefault="00F83E24">
      <w:pPr>
        <w:pStyle w:val="nonumheader"/>
      </w:pPr>
      <w:r>
        <w:t>ИЗВЕЩЕНИЕ</w:t>
      </w:r>
    </w:p>
    <w:p w:rsidR="00F83E24" w:rsidRDefault="00F83E24">
      <w:pPr>
        <w:pStyle w:val="newncpi0"/>
      </w:pPr>
      <w:r>
        <w:t>Нижеподписавшееся лицо имеет честь удостоверить согласно статье 6 Конвенции,</w:t>
      </w:r>
    </w:p>
    <w:p w:rsidR="00F83E24" w:rsidRDefault="00F83E24">
      <w:pPr>
        <w:pStyle w:val="newncpi0"/>
      </w:pPr>
      <w:r>
        <w:t>1) факт вручения документа*,</w:t>
      </w:r>
    </w:p>
    <w:p w:rsidR="00F83E24" w:rsidRDefault="00F83E24">
      <w:pPr>
        <w:pStyle w:val="newncpi0"/>
      </w:pPr>
      <w:r>
        <w:t>– ____________________________________________________________________________</w:t>
      </w:r>
    </w:p>
    <w:p w:rsidR="00F83E24" w:rsidRDefault="00F83E24">
      <w:pPr>
        <w:pStyle w:val="undline"/>
        <w:ind w:firstLine="4440"/>
      </w:pPr>
      <w:r>
        <w:t>(дата)</w:t>
      </w:r>
    </w:p>
    <w:p w:rsidR="00F83E24" w:rsidRDefault="00F83E24">
      <w:pPr>
        <w:pStyle w:val="newncpi0"/>
      </w:pPr>
      <w:r>
        <w:t>– ____________________________________________________________________________</w:t>
      </w:r>
    </w:p>
    <w:p w:rsidR="00F83E24" w:rsidRDefault="00F83E24">
      <w:pPr>
        <w:pStyle w:val="undline"/>
        <w:ind w:firstLine="3720"/>
      </w:pPr>
      <w:r>
        <w:t>(место, улица, номер дома)</w:t>
      </w:r>
    </w:p>
    <w:p w:rsidR="00F83E24" w:rsidRDefault="00F83E24">
      <w:pPr>
        <w:pStyle w:val="newncpi0"/>
      </w:pPr>
      <w:r>
        <w:t>– одним из следующих способов, предусмотренных в статье 5:</w:t>
      </w:r>
    </w:p>
    <w:p w:rsidR="00F83E24" w:rsidRDefault="00F83E24">
      <w:pPr>
        <w:pStyle w:val="newncpi0"/>
      </w:pPr>
      <w:r>
        <w:t xml:space="preserve">а) в соответствии с положениями </w:t>
      </w:r>
      <w:proofErr w:type="gramStart"/>
      <w:r>
        <w:t>пункта</w:t>
      </w:r>
      <w:proofErr w:type="gramEnd"/>
      <w:r>
        <w:t xml:space="preserve"> а части первой статьи 5 Конвенции*;</w:t>
      </w:r>
    </w:p>
    <w:p w:rsidR="00F83E24" w:rsidRDefault="00F83E24">
      <w:pPr>
        <w:pStyle w:val="newncpi0"/>
      </w:pPr>
      <w:r>
        <w:t>b) следующим особым способом*: 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с) путем доставки адресату, если он принимает его добровольно*.</w:t>
      </w:r>
    </w:p>
    <w:p w:rsidR="00F83E24" w:rsidRDefault="00F83E24">
      <w:pPr>
        <w:pStyle w:val="newncpi0"/>
      </w:pPr>
      <w:r>
        <w:t>Документы, указанные в просьбе, были доставлены:</w:t>
      </w:r>
    </w:p>
    <w:p w:rsidR="00F83E24" w:rsidRDefault="00F83E24">
      <w:pPr>
        <w:pStyle w:val="newncpi0"/>
      </w:pPr>
      <w:r>
        <w:t>– ____________________________________________________________________________</w:t>
      </w:r>
    </w:p>
    <w:p w:rsidR="00F83E24" w:rsidRDefault="00F83E24">
      <w:pPr>
        <w:pStyle w:val="undline"/>
        <w:ind w:firstLine="3481"/>
      </w:pPr>
      <w:r>
        <w:t>(имя, фамилия и описание лица)</w:t>
      </w:r>
    </w:p>
    <w:p w:rsidR="00F83E24" w:rsidRDefault="00F83E24">
      <w:pPr>
        <w:pStyle w:val="newncpi0"/>
      </w:pPr>
      <w:r>
        <w:lastRenderedPageBreak/>
        <w:t>– отношения с адресатом________________________________________________________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undline"/>
        <w:ind w:firstLine="3720"/>
      </w:pPr>
      <w:r>
        <w:t>(семейные, деловые или другие)</w:t>
      </w:r>
    </w:p>
    <w:p w:rsidR="00F83E24" w:rsidRDefault="00F83E24">
      <w:pPr>
        <w:pStyle w:val="newncpi0"/>
      </w:pPr>
      <w:r>
        <w:t>2) факт невручения документа в силу следующих причин: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В соответствии с частью второй статьи 12 Конвенции направляющее лицо обязано оплатить или возместить расходы, указанные в прилагаемом отчете*.</w:t>
      </w:r>
    </w:p>
    <w:p w:rsidR="00F83E24" w:rsidRDefault="00F83E24">
      <w:pPr>
        <w:pStyle w:val="newncpi0"/>
      </w:pPr>
      <w:r>
        <w:t>Приложения</w:t>
      </w:r>
    </w:p>
    <w:p w:rsidR="00F83E24" w:rsidRDefault="00F83E24">
      <w:pPr>
        <w:pStyle w:val="newncpi0"/>
      </w:pPr>
      <w:r>
        <w:t>Возвращенные документы: ______________________________________________________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При необходимости, документы, подтверждающие вручение: 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4"/>
        <w:gridCol w:w="2341"/>
        <w:gridCol w:w="2525"/>
        <w:gridCol w:w="1921"/>
      </w:tblGrid>
      <w:tr w:rsidR="00F83E24">
        <w:trPr>
          <w:trHeight w:val="240"/>
        </w:trPr>
        <w:tc>
          <w:tcPr>
            <w:tcW w:w="13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2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Совершено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___________________</w:t>
            </w:r>
          </w:p>
        </w:tc>
        <w:tc>
          <w:tcPr>
            <w:tcW w:w="10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______________</w:t>
            </w:r>
          </w:p>
        </w:tc>
      </w:tr>
      <w:tr w:rsidR="00F83E24">
        <w:trPr>
          <w:trHeight w:val="240"/>
        </w:trPr>
        <w:tc>
          <w:tcPr>
            <w:tcW w:w="13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2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undline"/>
              <w:jc w:val="center"/>
            </w:pPr>
            <w:r>
              <w:t>(место)</w:t>
            </w:r>
          </w:p>
        </w:tc>
        <w:tc>
          <w:tcPr>
            <w:tcW w:w="10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undline"/>
              <w:jc w:val="center"/>
            </w:pPr>
            <w:r>
              <w:t>(дата)</w:t>
            </w:r>
          </w:p>
        </w:tc>
      </w:tr>
      <w:tr w:rsidR="00F83E24">
        <w:trPr>
          <w:trHeight w:val="240"/>
        </w:trPr>
        <w:tc>
          <w:tcPr>
            <w:tcW w:w="13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2594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Подпись и/или печать</w:t>
            </w:r>
          </w:p>
        </w:tc>
        <w:tc>
          <w:tcPr>
            <w:tcW w:w="10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83E24" w:rsidRDefault="00F83E24">
            <w:pPr>
              <w:pStyle w:val="newncpi"/>
              <w:ind w:firstLine="0"/>
            </w:pPr>
            <w:r>
              <w:t> </w:t>
            </w:r>
          </w:p>
        </w:tc>
      </w:tr>
    </w:tbl>
    <w:p w:rsidR="00F83E24" w:rsidRDefault="00F83E24">
      <w:pPr>
        <w:pStyle w:val="newncpi"/>
      </w:pPr>
      <w:r>
        <w:t> </w:t>
      </w:r>
    </w:p>
    <w:p w:rsidR="00F83E24" w:rsidRDefault="00F83E24">
      <w:pPr>
        <w:pStyle w:val="snoskiline"/>
      </w:pPr>
      <w:r>
        <w:t>______________________________</w:t>
      </w:r>
    </w:p>
    <w:p w:rsidR="00F83E24" w:rsidRDefault="00F83E24">
      <w:pPr>
        <w:pStyle w:val="snoski"/>
        <w:spacing w:after="240"/>
      </w:pPr>
      <w:r>
        <w:t>*Ненужное зачеркнуть.</w:t>
      </w:r>
    </w:p>
    <w:p w:rsidR="00F83E24" w:rsidRDefault="00F83E24">
      <w:pPr>
        <w:pStyle w:val="nonumheader"/>
      </w:pPr>
      <w:r>
        <w:t>КРАТКОЕ СОДЕРЖАНИЕ ДОКУМЕНТА, ПОДЛЕЖАЩЕГО ВРУЧЕНИЮ</w:t>
      </w:r>
    </w:p>
    <w:p w:rsidR="00F83E24" w:rsidRDefault="00F83E24">
      <w:pPr>
        <w:pStyle w:val="newncpi"/>
        <w:jc w:val="center"/>
      </w:pPr>
      <w:r>
        <w:t>Конвенция о вручении за границей судебных и внесудебных документов по гражданским и торговым делам, подписанная в Гааге 15 ноября 1965 года.</w:t>
      </w:r>
    </w:p>
    <w:p w:rsidR="00F83E24" w:rsidRDefault="00F83E24">
      <w:pPr>
        <w:pStyle w:val="newncpi"/>
        <w:jc w:val="center"/>
      </w:pPr>
      <w:r>
        <w:t>(часть четвертая статьи 5)</w:t>
      </w:r>
    </w:p>
    <w:p w:rsidR="00F83E24" w:rsidRDefault="00F83E24">
      <w:pPr>
        <w:pStyle w:val="newncpi0"/>
      </w:pPr>
      <w:r>
        <w:t>Название и адрес запрашивающего органа: 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Реквизиты сторон*: ____________________________________________________________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onumheader"/>
      </w:pPr>
      <w:r>
        <w:t>СУДЕБНЫЕ ДОКУМЕНТЫ</w:t>
      </w:r>
    </w:p>
    <w:p w:rsidR="00F83E24" w:rsidRDefault="00F83E24">
      <w:pPr>
        <w:pStyle w:val="newncpi0"/>
      </w:pPr>
      <w:r>
        <w:t>Характер и цель документа: 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Характер и цель разбирательства и, если необходимо, цена иска: 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Дата и место явки в суд**: ______________________________________________________</w:t>
      </w:r>
    </w:p>
    <w:p w:rsidR="00F83E24" w:rsidRDefault="00F83E24">
      <w:pPr>
        <w:pStyle w:val="newncpi0"/>
      </w:pPr>
      <w:r>
        <w:t>Суд, вынесший решение**: ______________________________________________________</w:t>
      </w:r>
    </w:p>
    <w:p w:rsidR="00F83E24" w:rsidRDefault="00F83E24">
      <w:pPr>
        <w:pStyle w:val="newncpi0"/>
      </w:pPr>
      <w:r>
        <w:t>Дата вынесения решения**: _____________________________________________________</w:t>
      </w:r>
    </w:p>
    <w:p w:rsidR="00F83E24" w:rsidRDefault="00F83E24">
      <w:pPr>
        <w:pStyle w:val="newncpi0"/>
      </w:pPr>
      <w:r>
        <w:t>Сроки, указанные в документе**: ________________________________________________</w:t>
      </w:r>
    </w:p>
    <w:p w:rsidR="00F83E24" w:rsidRDefault="00F83E24">
      <w:pPr>
        <w:pStyle w:val="nonumheader"/>
      </w:pPr>
      <w:r>
        <w:t>ВНЕСУДЕБНЫЕ ДОКУМЕНТЫ</w:t>
      </w:r>
    </w:p>
    <w:p w:rsidR="00F83E24" w:rsidRDefault="00F83E24">
      <w:pPr>
        <w:pStyle w:val="newncpi0"/>
      </w:pPr>
      <w:r>
        <w:t>Характер и цель документа: _____________________________________________________</w:t>
      </w:r>
    </w:p>
    <w:p w:rsidR="00F83E24" w:rsidRDefault="00F83E24">
      <w:pPr>
        <w:pStyle w:val="newncpi0"/>
      </w:pPr>
      <w:r>
        <w:t>______________________________________________________________________________</w:t>
      </w:r>
    </w:p>
    <w:p w:rsidR="00F83E24" w:rsidRDefault="00F83E24">
      <w:pPr>
        <w:pStyle w:val="newncpi0"/>
      </w:pPr>
      <w:r>
        <w:t>Сроки, указанные в документе**: ________________________________________________</w:t>
      </w:r>
    </w:p>
    <w:p w:rsidR="00F83E24" w:rsidRDefault="00F83E24">
      <w:pPr>
        <w:pStyle w:val="snoskiline"/>
      </w:pPr>
      <w:r>
        <w:t> </w:t>
      </w:r>
    </w:p>
    <w:p w:rsidR="00F83E24" w:rsidRDefault="00F83E24">
      <w:pPr>
        <w:pStyle w:val="snoskiline"/>
      </w:pPr>
      <w:r>
        <w:t>______________________________</w:t>
      </w:r>
    </w:p>
    <w:p w:rsidR="00F83E24" w:rsidRDefault="00F83E24">
      <w:pPr>
        <w:pStyle w:val="snoski"/>
      </w:pPr>
      <w:r>
        <w:t>*Если необходимо, имя, фамилия и адрес лица, заинтересованного в передаче документа.</w:t>
      </w:r>
    </w:p>
    <w:p w:rsidR="00F83E24" w:rsidRDefault="00F83E24">
      <w:pPr>
        <w:pStyle w:val="snoski"/>
        <w:spacing w:after="240"/>
      </w:pPr>
      <w:r>
        <w:t>**Ненужное зачеркнуть.</w:t>
      </w:r>
    </w:p>
    <w:p w:rsidR="00237BCF" w:rsidRDefault="00237BCF"/>
    <w:sectPr w:rsidR="00237BCF" w:rsidSect="00F83E24">
      <w:pgSz w:w="11920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0B4" w:rsidRDefault="00C420B4" w:rsidP="00F83E24">
      <w:pPr>
        <w:spacing w:after="0" w:line="240" w:lineRule="auto"/>
      </w:pPr>
      <w:r>
        <w:separator/>
      </w:r>
    </w:p>
  </w:endnote>
  <w:endnote w:type="continuationSeparator" w:id="0">
    <w:p w:rsidR="00C420B4" w:rsidRDefault="00C420B4" w:rsidP="00F83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0B4" w:rsidRDefault="00C420B4" w:rsidP="00F83E24">
      <w:pPr>
        <w:spacing w:after="0" w:line="240" w:lineRule="auto"/>
      </w:pPr>
      <w:r>
        <w:separator/>
      </w:r>
    </w:p>
  </w:footnote>
  <w:footnote w:type="continuationSeparator" w:id="0">
    <w:p w:rsidR="00C420B4" w:rsidRDefault="00C420B4" w:rsidP="00F83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E24" w:rsidRDefault="00F83E24" w:rsidP="00992F2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E24" w:rsidRDefault="00F83E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E24" w:rsidRPr="00F83E24" w:rsidRDefault="00F83E24" w:rsidP="00992F29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F83E24">
      <w:rPr>
        <w:rStyle w:val="a7"/>
        <w:rFonts w:ascii="Times New Roman" w:hAnsi="Times New Roman" w:cs="Times New Roman"/>
        <w:sz w:val="24"/>
      </w:rPr>
      <w:fldChar w:fldCharType="begin"/>
    </w:r>
    <w:r w:rsidRPr="00F83E24">
      <w:rPr>
        <w:rStyle w:val="a7"/>
        <w:rFonts w:ascii="Times New Roman" w:hAnsi="Times New Roman" w:cs="Times New Roman"/>
        <w:sz w:val="24"/>
      </w:rPr>
      <w:instrText xml:space="preserve">PAGE  </w:instrText>
    </w:r>
    <w:r w:rsidRPr="00F83E24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9</w:t>
    </w:r>
    <w:r w:rsidRPr="00F83E24">
      <w:rPr>
        <w:rStyle w:val="a7"/>
        <w:rFonts w:ascii="Times New Roman" w:hAnsi="Times New Roman" w:cs="Times New Roman"/>
        <w:sz w:val="24"/>
      </w:rPr>
      <w:fldChar w:fldCharType="end"/>
    </w:r>
  </w:p>
  <w:p w:rsidR="00F83E24" w:rsidRPr="00F83E24" w:rsidRDefault="00F83E24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24"/>
    <w:rsid w:val="00237BCF"/>
    <w:rsid w:val="00C420B4"/>
    <w:rsid w:val="00F8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83E2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F83E2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onestring">
    <w:name w:val="onestring"/>
    <w:basedOn w:val="a"/>
    <w:rsid w:val="00F83E24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F83E2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F83E24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F83E2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F83E2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83E2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F83E24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rticlect">
    <w:name w:val="articlect"/>
    <w:basedOn w:val="a"/>
    <w:rsid w:val="00F83E2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83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3E24"/>
  </w:style>
  <w:style w:type="paragraph" w:styleId="a5">
    <w:name w:val="footer"/>
    <w:basedOn w:val="a"/>
    <w:link w:val="a6"/>
    <w:uiPriority w:val="99"/>
    <w:unhideWhenUsed/>
    <w:rsid w:val="00F83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3E24"/>
  </w:style>
  <w:style w:type="character" w:styleId="a7">
    <w:name w:val="page number"/>
    <w:basedOn w:val="a0"/>
    <w:uiPriority w:val="99"/>
    <w:semiHidden/>
    <w:unhideWhenUsed/>
    <w:rsid w:val="00F83E24"/>
  </w:style>
  <w:style w:type="table" w:styleId="a8">
    <w:name w:val="Table Grid"/>
    <w:basedOn w:val="a1"/>
    <w:uiPriority w:val="59"/>
    <w:rsid w:val="00F83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83E2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F83E2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onestring">
    <w:name w:val="onestring"/>
    <w:basedOn w:val="a"/>
    <w:rsid w:val="00F83E24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F83E2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F83E24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F83E2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F83E2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83E2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F83E24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rticlect">
    <w:name w:val="articlect"/>
    <w:basedOn w:val="a"/>
    <w:rsid w:val="00F83E2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83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3E24"/>
  </w:style>
  <w:style w:type="paragraph" w:styleId="a5">
    <w:name w:val="footer"/>
    <w:basedOn w:val="a"/>
    <w:link w:val="a6"/>
    <w:uiPriority w:val="99"/>
    <w:unhideWhenUsed/>
    <w:rsid w:val="00F83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3E24"/>
  </w:style>
  <w:style w:type="character" w:styleId="a7">
    <w:name w:val="page number"/>
    <w:basedOn w:val="a0"/>
    <w:uiPriority w:val="99"/>
    <w:semiHidden/>
    <w:unhideWhenUsed/>
    <w:rsid w:val="00F83E24"/>
  </w:style>
  <w:style w:type="table" w:styleId="a8">
    <w:name w:val="Table Grid"/>
    <w:basedOn w:val="a1"/>
    <w:uiPriority w:val="59"/>
    <w:rsid w:val="00F83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2557</Words>
  <Characters>19365</Characters>
  <Application>Microsoft Office Word</Application>
  <DocSecurity>0</DocSecurity>
  <Lines>420</Lines>
  <Paragraphs>254</Paragraphs>
  <ScaleCrop>false</ScaleCrop>
  <Company>SPecialiST RePack</Company>
  <LinksUpToDate>false</LinksUpToDate>
  <CharactersWithSpaces>21668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1</cp:revision>
  <dcterms:created xsi:type="dcterms:W3CDTF">2018-02-01T12:51:00Z</dcterms:created>
  <dcterms:modified xsi:type="dcterms:W3CDTF">2018-02-01T12:52:00Z</dcterms:modified>
</cp:coreProperties>
</file>